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C4B78" w14:textId="2A7464A5" w:rsidR="001D0347" w:rsidRPr="004E7CF8" w:rsidRDefault="001D0347" w:rsidP="00FE24B6">
      <w:pPr>
        <w:pStyle w:val="NormalWeb"/>
        <w:spacing w:before="0" w:beforeAutospacing="0" w:after="200" w:afterAutospacing="0"/>
        <w:rPr>
          <w:b/>
        </w:rPr>
      </w:pPr>
      <w:bookmarkStart w:id="0" w:name="_GoBack"/>
      <w:bookmarkEnd w:id="0"/>
      <w:r w:rsidRPr="004E7CF8">
        <w:rPr>
          <w:b/>
        </w:rPr>
        <w:t>Abstract:</w:t>
      </w:r>
      <w:r w:rsidR="008E7B86">
        <w:rPr>
          <w:b/>
        </w:rPr>
        <w:t xml:space="preserve"> </w:t>
      </w:r>
      <w:r w:rsidR="005D7848">
        <w:rPr>
          <w:b/>
        </w:rPr>
        <w:t xml:space="preserve">  </w:t>
      </w:r>
      <w:r w:rsidR="005D7848">
        <w:t xml:space="preserve">The child credit has long been a valuable tax break. But, with the passage of the Tax Cuts and Jobs Act (TCJA) late last year, it’s </w:t>
      </w:r>
      <w:r w:rsidR="00167856">
        <w:t xml:space="preserve">now </w:t>
      </w:r>
      <w:r w:rsidR="005D7848">
        <w:t>even better — at least for a while. This article provides some details that every family should know.</w:t>
      </w:r>
    </w:p>
    <w:p w14:paraId="01D7F7AA" w14:textId="77777777" w:rsidR="004E7CF8" w:rsidRPr="004E7CF8" w:rsidRDefault="004E7CF8" w:rsidP="00FE24B6">
      <w:pPr>
        <w:pStyle w:val="NormalWeb"/>
        <w:spacing w:before="0" w:beforeAutospacing="0" w:after="200" w:afterAutospacing="0"/>
        <w:rPr>
          <w:sz w:val="28"/>
          <w:szCs w:val="28"/>
        </w:rPr>
      </w:pPr>
      <w:r w:rsidRPr="004E7CF8">
        <w:rPr>
          <w:b/>
          <w:sz w:val="28"/>
          <w:szCs w:val="28"/>
        </w:rPr>
        <w:t xml:space="preserve">No kidding: Child credit to get </w:t>
      </w:r>
      <w:r>
        <w:rPr>
          <w:b/>
          <w:sz w:val="28"/>
          <w:szCs w:val="28"/>
        </w:rPr>
        <w:t xml:space="preserve">even </w:t>
      </w:r>
      <w:r w:rsidRPr="004E7CF8">
        <w:rPr>
          <w:b/>
          <w:sz w:val="28"/>
          <w:szCs w:val="28"/>
        </w:rPr>
        <w:t>more valuable</w:t>
      </w:r>
    </w:p>
    <w:p w14:paraId="5544E9A8" w14:textId="77777777" w:rsidR="00D40B3C" w:rsidRDefault="004E7CF8" w:rsidP="00FE24B6">
      <w:pPr>
        <w:pStyle w:val="NormalWeb"/>
        <w:spacing w:before="0" w:beforeAutospacing="0" w:after="200" w:afterAutospacing="0"/>
      </w:pPr>
      <w:r>
        <w:t xml:space="preserve">The child credit has long been a valuable tax break. </w:t>
      </w:r>
      <w:r w:rsidR="0059020F">
        <w:t xml:space="preserve">But, with the passage of the Tax Cuts and Jobs Act (TCJA) late last year, it’s </w:t>
      </w:r>
      <w:r w:rsidR="00167856">
        <w:t xml:space="preserve">now </w:t>
      </w:r>
      <w:r w:rsidR="0059020F">
        <w:t>even better — at least for a while. Here are some details that every family should know.</w:t>
      </w:r>
    </w:p>
    <w:p w14:paraId="4FC4B503" w14:textId="77777777" w:rsidR="00D40B3C" w:rsidRPr="0059020F" w:rsidRDefault="00F64995" w:rsidP="00FE24B6">
      <w:pPr>
        <w:pStyle w:val="NormalWeb"/>
        <w:spacing w:before="0" w:beforeAutospacing="0" w:after="200" w:afterAutospacing="0"/>
        <w:rPr>
          <w:b/>
        </w:rPr>
      </w:pPr>
      <w:r>
        <w:rPr>
          <w:b/>
        </w:rPr>
        <w:t>Amount and limitations</w:t>
      </w:r>
    </w:p>
    <w:p w14:paraId="486122E9" w14:textId="77777777" w:rsidR="0059020F" w:rsidRDefault="0059020F" w:rsidP="00FE24B6">
      <w:pPr>
        <w:pStyle w:val="NormalWeb"/>
        <w:spacing w:before="0" w:beforeAutospacing="0" w:after="200" w:afterAutospacing="0"/>
      </w:pPr>
      <w:r>
        <w:t>For the 2017 tax year, the child credit may help reduce federal income tax liability dollar-for-dollar by up to $1,000 for each qualifying child</w:t>
      </w:r>
      <w:r w:rsidR="005F3248">
        <w:t xml:space="preserve"> under age 17</w:t>
      </w:r>
      <w:r>
        <w:t xml:space="preserve">. So if you haven’t yet filed </w:t>
      </w:r>
      <w:r w:rsidR="00F64995">
        <w:t xml:space="preserve">your personal return </w:t>
      </w:r>
      <w:r>
        <w:t xml:space="preserve">or </w:t>
      </w:r>
      <w:r w:rsidR="00FA6049">
        <w:t xml:space="preserve">you </w:t>
      </w:r>
      <w:r>
        <w:t xml:space="preserve">might consider amending </w:t>
      </w:r>
      <w:r w:rsidR="00F64995">
        <w:t>it</w:t>
      </w:r>
      <w:r>
        <w:t>, bear this in mind.</w:t>
      </w:r>
    </w:p>
    <w:p w14:paraId="518510EC" w14:textId="77777777" w:rsidR="004133E4" w:rsidRDefault="004133E4" w:rsidP="00FE24B6">
      <w:pPr>
        <w:pStyle w:val="NormalWeb"/>
        <w:spacing w:before="0" w:beforeAutospacing="0" w:after="200" w:afterAutospacing="0"/>
      </w:pPr>
      <w:r>
        <w:t>The credit is</w:t>
      </w:r>
      <w:r w:rsidR="00F64995">
        <w:t>, however,</w:t>
      </w:r>
      <w:r>
        <w:t xml:space="preserve"> subject to income limitations that may reduce or even eliminate eligibility for it depending on </w:t>
      </w:r>
      <w:r w:rsidR="00FA6049">
        <w:t>your</w:t>
      </w:r>
      <w:r>
        <w:t xml:space="preserve"> filing status and modified adjusted gross income (MAGI). For 2017, the limits are $110,000 for married couples filing jointly, and $55,000 for married taxpayers filing separately. (Singles, heads of households, and qualifying widows and widowers are limited to $75,000 in MAGI.)</w:t>
      </w:r>
    </w:p>
    <w:p w14:paraId="78E70420" w14:textId="77777777" w:rsidR="004133E4" w:rsidRPr="004133E4" w:rsidRDefault="00F64995" w:rsidP="00FE24B6">
      <w:pPr>
        <w:pStyle w:val="NormalWeb"/>
        <w:spacing w:before="0" w:beforeAutospacing="0" w:after="200" w:afterAutospacing="0"/>
        <w:rPr>
          <w:b/>
        </w:rPr>
      </w:pPr>
      <w:r>
        <w:rPr>
          <w:b/>
        </w:rPr>
        <w:t>Exciting changes</w:t>
      </w:r>
    </w:p>
    <w:p w14:paraId="51962A06" w14:textId="77777777" w:rsidR="004E7CF8" w:rsidRDefault="004133E4" w:rsidP="00FE24B6">
      <w:pPr>
        <w:pStyle w:val="NormalWeb"/>
        <w:spacing w:before="0" w:beforeAutospacing="0" w:after="200" w:afterAutospacing="0"/>
      </w:pPr>
      <w:r>
        <w:t xml:space="preserve">Now the good news: Under the TCJA, </w:t>
      </w:r>
      <w:r w:rsidR="004E7CF8">
        <w:t xml:space="preserve">the credit </w:t>
      </w:r>
      <w:r w:rsidR="005F3248">
        <w:t xml:space="preserve">will double </w:t>
      </w:r>
      <w:r w:rsidR="004E7CF8">
        <w:t>to $2,000 per child under age 17</w:t>
      </w:r>
      <w:r>
        <w:t xml:space="preserve"> starting in 2018</w:t>
      </w:r>
      <w:r w:rsidR="004E7CF8">
        <w:t xml:space="preserve">. The maximum amount refundable (because a taxpayer’s credits exceed his or her tax liability) </w:t>
      </w:r>
      <w:r>
        <w:t xml:space="preserve">will be </w:t>
      </w:r>
      <w:r w:rsidR="004E7CF8">
        <w:t>limited to $1,400 per child.</w:t>
      </w:r>
    </w:p>
    <w:p w14:paraId="08D6FF53" w14:textId="4E45D100" w:rsidR="004E7CF8" w:rsidRDefault="004E7CF8" w:rsidP="00FE24B6">
      <w:pPr>
        <w:pStyle w:val="NormalWeb"/>
        <w:spacing w:before="0" w:beforeAutospacing="0" w:after="200" w:afterAutospacing="0"/>
      </w:pPr>
      <w:r>
        <w:t xml:space="preserve">The TCJA also makes the child credit available to more families than in the past. </w:t>
      </w:r>
      <w:r w:rsidR="00FA6049">
        <w:t>That’s because</w:t>
      </w:r>
      <w:r w:rsidR="008E7B86">
        <w:t>,</w:t>
      </w:r>
      <w:r w:rsidR="004133E4">
        <w:t xml:space="preserve"> beginning in 2018</w:t>
      </w:r>
      <w:r>
        <w:t xml:space="preserve">, the credit </w:t>
      </w:r>
      <w:r w:rsidR="004133E4">
        <w:t xml:space="preserve">won’t </w:t>
      </w:r>
      <w:r>
        <w:t xml:space="preserve">begin to phase out until </w:t>
      </w:r>
      <w:r w:rsidR="004133E4">
        <w:t xml:space="preserve">MAGI </w:t>
      </w:r>
      <w:r>
        <w:t>exceeds $400,000 for married couples or $200,000 for all other filers, compared with the 2017 phaseouts of $110,000 and $75,000. The phaseout thresholds won’t be indexed for inflation, though, meaning the credit will lose value over time.</w:t>
      </w:r>
    </w:p>
    <w:p w14:paraId="3B0DD025" w14:textId="538A3F6F" w:rsidR="004E7CF8" w:rsidRDefault="004133E4" w:rsidP="00FE24B6">
      <w:pPr>
        <w:pStyle w:val="NormalWeb"/>
        <w:spacing w:before="0" w:beforeAutospacing="0" w:after="200" w:afterAutospacing="0"/>
      </w:pPr>
      <w:r>
        <w:t>In addition, t</w:t>
      </w:r>
      <w:r w:rsidR="004E7CF8">
        <w:t>he TCJA includes</w:t>
      </w:r>
      <w:r>
        <w:t xml:space="preserve"> (starting </w:t>
      </w:r>
      <w:r w:rsidR="004E7CF8">
        <w:t>in 2018</w:t>
      </w:r>
      <w:r>
        <w:t>)</w:t>
      </w:r>
      <w:r w:rsidR="004E7CF8">
        <w:t xml:space="preserve"> a $500 nonrefundable credit for qualifying dependents other than qualifying children (for example, a taxpayer’s 17-year-old child, parent, sibling, niece or nephew, or aunt or uncle).</w:t>
      </w:r>
      <w:r>
        <w:t xml:space="preserve"> </w:t>
      </w:r>
      <w:r w:rsidR="009F6EF5">
        <w:t xml:space="preserve">Importantly, </w:t>
      </w:r>
      <w:r w:rsidR="00FE24B6">
        <w:t>these</w:t>
      </w:r>
      <w:r w:rsidR="009F6EF5">
        <w:t xml:space="preserve"> provisions expire after 2025.</w:t>
      </w:r>
    </w:p>
    <w:p w14:paraId="1BF6EFBD" w14:textId="77777777" w:rsidR="001D0347" w:rsidRDefault="001D0347" w:rsidP="00FE24B6">
      <w:pPr>
        <w:pStyle w:val="NormalWeb"/>
        <w:spacing w:before="0" w:beforeAutospacing="0" w:after="200" w:afterAutospacing="0"/>
        <w:rPr>
          <w:rStyle w:val="Strong"/>
        </w:rPr>
      </w:pPr>
      <w:r>
        <w:rPr>
          <w:rStyle w:val="Strong"/>
        </w:rPr>
        <w:t>Qualifications</w:t>
      </w:r>
      <w:r w:rsidR="00F64995">
        <w:rPr>
          <w:rStyle w:val="Strong"/>
        </w:rPr>
        <w:t xml:space="preserve"> to consider</w:t>
      </w:r>
    </w:p>
    <w:p w14:paraId="6B57E665" w14:textId="12ADCD73" w:rsidR="001D0347" w:rsidRDefault="00687793" w:rsidP="00FE24B6">
      <w:pPr>
        <w:pStyle w:val="NormalWeb"/>
        <w:spacing w:before="0" w:beforeAutospacing="0" w:after="200" w:afterAutospacing="0"/>
      </w:pPr>
      <w:r>
        <w:t xml:space="preserve">Along with the income limitations, there are other qualification requirements for claiming the child credit. As you might have noticed, a qualifying child must be under the </w:t>
      </w:r>
      <w:r w:rsidR="001D0347">
        <w:t xml:space="preserve">age of 17 at the end of </w:t>
      </w:r>
      <w:r>
        <w:t>the tax year in question</w:t>
      </w:r>
      <w:r w:rsidR="001D0347">
        <w:t xml:space="preserve">. But the child also must be a </w:t>
      </w:r>
      <w:smartTag w:uri="urn:schemas-microsoft-com:office:smarttags" w:element="country-region">
        <w:smartTag w:uri="urn:schemas-microsoft-com:office:smarttags" w:element="place">
          <w:r w:rsidR="001D0347">
            <w:t>U.S.</w:t>
          </w:r>
        </w:smartTag>
      </w:smartTag>
      <w:r w:rsidR="001D0347">
        <w:t xml:space="preserve"> citizen, national or resident alien, and a dependent claimed on the parents’ federal tax return who’s their own legal son, daughter, stepchild, foster child or adoptee. (A qualifying child may also include a grandchild, niece or nephew.)</w:t>
      </w:r>
    </w:p>
    <w:p w14:paraId="262EAE7F" w14:textId="77777777" w:rsidR="0078549A" w:rsidRDefault="00687793" w:rsidP="00FE24B6">
      <w:pPr>
        <w:spacing w:before="0" w:after="200"/>
      </w:pPr>
      <w:r>
        <w:lastRenderedPageBreak/>
        <w:t xml:space="preserve">As a child </w:t>
      </w:r>
      <w:r w:rsidR="001D0347">
        <w:t xml:space="preserve">gets older, other circumstances may affect </w:t>
      </w:r>
      <w:r>
        <w:t xml:space="preserve">a family’s </w:t>
      </w:r>
      <w:r w:rsidR="001D0347">
        <w:t xml:space="preserve">ability to claim the credit. For instance, the child needs to have lived with </w:t>
      </w:r>
      <w:r>
        <w:t xml:space="preserve">his or her parents </w:t>
      </w:r>
      <w:r w:rsidR="001D0347">
        <w:t>for more than half of the tax year.</w:t>
      </w:r>
    </w:p>
    <w:p w14:paraId="67E91713" w14:textId="77777777" w:rsidR="00687793" w:rsidRPr="00F64995" w:rsidRDefault="00F64995" w:rsidP="00FE24B6">
      <w:pPr>
        <w:spacing w:before="0" w:after="200"/>
        <w:rPr>
          <w:b/>
        </w:rPr>
      </w:pPr>
      <w:r w:rsidRPr="00F64995">
        <w:rPr>
          <w:b/>
        </w:rPr>
        <w:t>Powerful tool</w:t>
      </w:r>
    </w:p>
    <w:p w14:paraId="7427250B" w14:textId="3FC26D70" w:rsidR="00687793" w:rsidRDefault="00F64995" w:rsidP="00FE24B6">
      <w:pPr>
        <w:spacing w:before="0" w:after="200"/>
      </w:pPr>
      <w:r>
        <w:t>Tax credits can serve as powerful tools to help you manage your tax liability. So if you may qualify for the child credit in 2017</w:t>
      </w:r>
      <w:r w:rsidR="005D7848">
        <w:t>,</w:t>
      </w:r>
      <w:r>
        <w:t xml:space="preserve"> or in years ahead, please contact our firm to discuss </w:t>
      </w:r>
      <w:r w:rsidR="005D7848">
        <w:t xml:space="preserve">the full details of </w:t>
      </w:r>
      <w:r>
        <w:t>how to go about claiming it properly.</w:t>
      </w:r>
    </w:p>
    <w:p w14:paraId="20ED3EFA" w14:textId="07570C4C" w:rsidR="00F8719F" w:rsidRPr="00F8719F" w:rsidRDefault="00F8719F" w:rsidP="00FE24B6">
      <w:pPr>
        <w:spacing w:before="0" w:after="200"/>
        <w:rPr>
          <w:i/>
        </w:rPr>
      </w:pPr>
      <w:r>
        <w:t xml:space="preserve">© </w:t>
      </w:r>
      <w:r>
        <w:rPr>
          <w:i/>
        </w:rPr>
        <w:t>2018</w:t>
      </w:r>
    </w:p>
    <w:sectPr w:rsidR="00F8719F" w:rsidRPr="00F8719F" w:rsidSect="0078549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347"/>
    <w:rsid w:val="000406A5"/>
    <w:rsid w:val="000E37DC"/>
    <w:rsid w:val="00167856"/>
    <w:rsid w:val="001B53CA"/>
    <w:rsid w:val="001D0347"/>
    <w:rsid w:val="001E15E1"/>
    <w:rsid w:val="002B02A7"/>
    <w:rsid w:val="003E7859"/>
    <w:rsid w:val="004133E4"/>
    <w:rsid w:val="004E7CF8"/>
    <w:rsid w:val="0059020F"/>
    <w:rsid w:val="005D7848"/>
    <w:rsid w:val="005F3248"/>
    <w:rsid w:val="005F6570"/>
    <w:rsid w:val="00687793"/>
    <w:rsid w:val="0078549A"/>
    <w:rsid w:val="00857E88"/>
    <w:rsid w:val="008E7B86"/>
    <w:rsid w:val="009B7395"/>
    <w:rsid w:val="009F6EF5"/>
    <w:rsid w:val="00A9448A"/>
    <w:rsid w:val="00B73787"/>
    <w:rsid w:val="00B951DA"/>
    <w:rsid w:val="00CF47D0"/>
    <w:rsid w:val="00D40B3C"/>
    <w:rsid w:val="00D665A7"/>
    <w:rsid w:val="00DD4FBD"/>
    <w:rsid w:val="00E040A5"/>
    <w:rsid w:val="00F64995"/>
    <w:rsid w:val="00F72539"/>
    <w:rsid w:val="00F8719F"/>
    <w:rsid w:val="00F90F03"/>
    <w:rsid w:val="00FA6049"/>
    <w:rsid w:val="00FB3113"/>
    <w:rsid w:val="00FC2CA9"/>
    <w:rsid w:val="00FE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046CE03"/>
  <w15:docId w15:val="{F7F25CEE-54EA-4045-8864-0458FD3C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0347"/>
    <w:pPr>
      <w:spacing w:before="240" w:after="24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D0347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1D0347"/>
    <w:rPr>
      <w:rFonts w:cs="Times New Roman"/>
      <w:b/>
      <w:bCs/>
    </w:rPr>
  </w:style>
  <w:style w:type="character" w:styleId="CommentReference">
    <w:name w:val="annotation reference"/>
    <w:basedOn w:val="DefaultParagraphFont"/>
    <w:semiHidden/>
    <w:unhideWhenUsed/>
    <w:rsid w:val="00FC2C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2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C2CA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2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2CA9"/>
    <w:rPr>
      <w:b/>
      <w:bCs/>
    </w:rPr>
  </w:style>
  <w:style w:type="paragraph" w:styleId="BalloonText">
    <w:name w:val="Balloon Text"/>
    <w:basedOn w:val="Normal"/>
    <w:link w:val="BalloonTextChar"/>
    <w:rsid w:val="00FC2C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2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1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Thomson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u0141352</dc:creator>
  <cp:lastModifiedBy>Lashway, David M. (Tax&amp;Accounting)</cp:lastModifiedBy>
  <cp:revision>2</cp:revision>
  <dcterms:created xsi:type="dcterms:W3CDTF">2018-02-08T22:21:00Z</dcterms:created>
  <dcterms:modified xsi:type="dcterms:W3CDTF">2018-02-08T22:21:00Z</dcterms:modified>
</cp:coreProperties>
</file>