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3D51F" w14:textId="67EAC587" w:rsidR="00AF65D4" w:rsidRPr="00AF65D4" w:rsidRDefault="00AF65D4" w:rsidP="00206A4B">
      <w:pPr>
        <w:spacing w:after="200" w:line="240" w:lineRule="auto"/>
        <w:rPr>
          <w:b/>
          <w:bCs/>
        </w:rPr>
      </w:pPr>
      <w:r w:rsidRPr="00AF65D4">
        <w:rPr>
          <w:b/>
          <w:bCs/>
        </w:rPr>
        <w:t>Abstract:</w:t>
      </w:r>
      <w:r w:rsidR="0009552B">
        <w:rPr>
          <w:b/>
          <w:bCs/>
        </w:rPr>
        <w:t xml:space="preserve">   </w:t>
      </w:r>
      <w:r w:rsidR="0009552B">
        <w:t>Although t</w:t>
      </w:r>
      <w:r w:rsidR="0009552B" w:rsidRPr="00BF07C5">
        <w:t>he Tax Cuts and Jobs Act</w:t>
      </w:r>
      <w:r w:rsidR="00975FDC">
        <w:t xml:space="preserve"> </w:t>
      </w:r>
      <w:r w:rsidR="0009552B">
        <w:t xml:space="preserve">took much of the “teeth” out of the AMT by raising the inflation-adjusted exemption, high-income earners </w:t>
      </w:r>
      <w:r w:rsidR="00585484">
        <w:t xml:space="preserve">(and even some middle-income earners) </w:t>
      </w:r>
      <w:r w:rsidR="0009552B">
        <w:t>should still watch out for its bite. This article discusses the basic rules</w:t>
      </w:r>
      <w:r w:rsidR="001E1103">
        <w:t xml:space="preserve"> and </w:t>
      </w:r>
      <w:r w:rsidR="00D83E89">
        <w:t xml:space="preserve">the </w:t>
      </w:r>
      <w:r w:rsidR="001E1103">
        <w:t>role of itemized deductions. A sidebar warns investors that capital gains can trigger the AMT.</w:t>
      </w:r>
    </w:p>
    <w:p w14:paraId="57CAD4F1" w14:textId="779F38AD" w:rsidR="00AF65D4" w:rsidRDefault="00AF65D4" w:rsidP="00206A4B">
      <w:pPr>
        <w:spacing w:after="200" w:line="240" w:lineRule="auto"/>
      </w:pPr>
      <w:r w:rsidRPr="00AF65D4">
        <w:rPr>
          <w:b/>
          <w:bCs/>
          <w:sz w:val="28"/>
          <w:szCs w:val="24"/>
        </w:rPr>
        <w:t>AMT</w:t>
      </w:r>
      <w:r w:rsidR="00FE2023">
        <w:rPr>
          <w:b/>
          <w:bCs/>
          <w:sz w:val="28"/>
          <w:szCs w:val="24"/>
        </w:rPr>
        <w:t xml:space="preserve"> l</w:t>
      </w:r>
      <w:r w:rsidR="00CA7ADA">
        <w:rPr>
          <w:b/>
          <w:bCs/>
          <w:sz w:val="28"/>
          <w:szCs w:val="24"/>
        </w:rPr>
        <w:t xml:space="preserve">ess “toothy” but </w:t>
      </w:r>
      <w:r w:rsidR="00FE2023">
        <w:rPr>
          <w:b/>
          <w:bCs/>
          <w:sz w:val="28"/>
          <w:szCs w:val="24"/>
        </w:rPr>
        <w:t xml:space="preserve">may </w:t>
      </w:r>
      <w:r w:rsidR="004E1954">
        <w:rPr>
          <w:b/>
          <w:bCs/>
          <w:sz w:val="28"/>
          <w:szCs w:val="24"/>
        </w:rPr>
        <w:t xml:space="preserve">still </w:t>
      </w:r>
      <w:r w:rsidR="00CA7ADA">
        <w:rPr>
          <w:b/>
          <w:bCs/>
          <w:sz w:val="28"/>
          <w:szCs w:val="24"/>
        </w:rPr>
        <w:t>take a bite</w:t>
      </w:r>
    </w:p>
    <w:p w14:paraId="1B58104C" w14:textId="4CCF4A9D" w:rsidR="00AF65D4" w:rsidRDefault="006B06B1" w:rsidP="00206A4B">
      <w:pPr>
        <w:spacing w:after="200" w:line="240" w:lineRule="auto"/>
      </w:pPr>
      <w:r>
        <w:t xml:space="preserve">For many years, the </w:t>
      </w:r>
      <w:r w:rsidR="00AF65D4">
        <w:t>alternative minimum tax (AMT)</w:t>
      </w:r>
      <w:r>
        <w:t xml:space="preserve"> posed a risk to many taxpayers </w:t>
      </w:r>
      <w:r w:rsidR="00421D48">
        <w:t xml:space="preserve">in the middle- to upper-income brackets. </w:t>
      </w:r>
      <w:r w:rsidR="004E1954">
        <w:t>T</w:t>
      </w:r>
      <w:r w:rsidR="00A3705F" w:rsidRPr="00BF07C5">
        <w:t xml:space="preserve">he Tax Cuts and Jobs Act </w:t>
      </w:r>
      <w:r w:rsidR="00A3705F">
        <w:t xml:space="preserve">(TCJA) </w:t>
      </w:r>
      <w:r>
        <w:t xml:space="preserve">took much of the “teeth” out of the AMT by </w:t>
      </w:r>
      <w:r w:rsidR="00421D48">
        <w:t xml:space="preserve">raising the inflation-adjusted exemption. </w:t>
      </w:r>
      <w:r w:rsidR="004E1954">
        <w:t xml:space="preserve">As a result, middle-income earners have had less to worry about, but those whose income has </w:t>
      </w:r>
      <w:r w:rsidR="003853B4">
        <w:t>substantially increased</w:t>
      </w:r>
      <w:r w:rsidR="004E1954">
        <w:t xml:space="preserve"> </w:t>
      </w:r>
      <w:r w:rsidR="004D2F6B">
        <w:t xml:space="preserve">(or remains high) </w:t>
      </w:r>
      <w:r w:rsidR="004E1954">
        <w:t xml:space="preserve">should </w:t>
      </w:r>
      <w:r w:rsidR="00552EE6">
        <w:t xml:space="preserve">still </w:t>
      </w:r>
      <w:r w:rsidR="004E1954">
        <w:t>watch out for its bite.</w:t>
      </w:r>
    </w:p>
    <w:p w14:paraId="1C75F8EC" w14:textId="0E5DD7E9" w:rsidR="00AF65D4" w:rsidRPr="00B61103" w:rsidRDefault="004623C0" w:rsidP="00206A4B">
      <w:pPr>
        <w:spacing w:after="200" w:line="240" w:lineRule="auto"/>
        <w:rPr>
          <w:b/>
          <w:bCs/>
        </w:rPr>
      </w:pPr>
      <w:r>
        <w:rPr>
          <w:b/>
          <w:bCs/>
        </w:rPr>
        <w:t>Basic rules</w:t>
      </w:r>
    </w:p>
    <w:p w14:paraId="74DB29E2" w14:textId="73D7BCF5" w:rsidR="00AF65D4" w:rsidRDefault="00AF65D4" w:rsidP="00206A4B">
      <w:pPr>
        <w:spacing w:after="200" w:line="240" w:lineRule="auto"/>
      </w:pPr>
      <w:r>
        <w:t>The AMT was established to ensure that high-income individuals pay at least a minimum tax, even if they have many large deductions that significantly reduce their “regular” income tax. If your AMT liability is greater than your regular income tax liability, you must pay the difference as AMT</w:t>
      </w:r>
      <w:r w:rsidR="008370FB">
        <w:t xml:space="preserve"> </w:t>
      </w:r>
      <w:r w:rsidR="008370FB">
        <w:rPr>
          <w:rFonts w:cs="Times New Roman"/>
        </w:rPr>
        <w:t>—</w:t>
      </w:r>
      <w:r>
        <w:t xml:space="preserve"> in addition to the regular tax.</w:t>
      </w:r>
    </w:p>
    <w:p w14:paraId="63839C4E" w14:textId="0A8A8DDB" w:rsidR="00DD0EBE" w:rsidRDefault="00DD0EBE" w:rsidP="00206A4B">
      <w:pPr>
        <w:spacing w:after="200" w:line="240" w:lineRule="auto"/>
      </w:pPr>
      <w:r>
        <w:t xml:space="preserve">As mentioned, the TCJA </w:t>
      </w:r>
      <w:r w:rsidR="008370FB">
        <w:t xml:space="preserve">substantially </w:t>
      </w:r>
      <w:r w:rsidRPr="00DD0EBE">
        <w:t>increase</w:t>
      </w:r>
      <w:r w:rsidR="008370FB">
        <w:t>d</w:t>
      </w:r>
      <w:r w:rsidRPr="00DD0EBE">
        <w:t xml:space="preserve"> the </w:t>
      </w:r>
      <w:r w:rsidR="006A1102">
        <w:t xml:space="preserve">AMT </w:t>
      </w:r>
      <w:r w:rsidRPr="00DD0EBE">
        <w:t xml:space="preserve">exemption for 2018 through 2025. </w:t>
      </w:r>
      <w:r w:rsidR="00D00F59">
        <w:t xml:space="preserve">If your income (calculated for AMT purposes) falls at or below the exemption, you won’t have to </w:t>
      </w:r>
      <w:r w:rsidR="00A518B1">
        <w:t xml:space="preserve">pay </w:t>
      </w:r>
      <w:r w:rsidR="00D00F59">
        <w:t xml:space="preserve">the AMT. </w:t>
      </w:r>
      <w:r w:rsidR="00604D0C">
        <w:t xml:space="preserve">The </w:t>
      </w:r>
      <w:r w:rsidR="00604D0C" w:rsidRPr="00604D0C">
        <w:t>2020 exemption</w:t>
      </w:r>
      <w:r w:rsidR="006A1102">
        <w:t xml:space="preserve"> amount</w:t>
      </w:r>
      <w:r w:rsidR="00604D0C" w:rsidRPr="00604D0C">
        <w:t xml:space="preserve">s </w:t>
      </w:r>
      <w:r w:rsidR="0081531D">
        <w:t xml:space="preserve">are $72,900 (for single filers), $113,400 (for married joint filers) and </w:t>
      </w:r>
      <w:r w:rsidR="0081531D" w:rsidRPr="0081531D">
        <w:t>$56,700</w:t>
      </w:r>
      <w:r w:rsidR="0081531D">
        <w:t xml:space="preserve"> (for married separate filers).</w:t>
      </w:r>
    </w:p>
    <w:p w14:paraId="16E2AD21" w14:textId="639BFF36" w:rsidR="00AF65D4" w:rsidRDefault="00D760D2" w:rsidP="00206A4B">
      <w:pPr>
        <w:spacing w:after="200" w:line="240" w:lineRule="auto"/>
      </w:pPr>
      <w:r>
        <w:t xml:space="preserve">If you do get caught by the AMT, applicable rates </w:t>
      </w:r>
      <w:r w:rsidR="00AF65D4">
        <w:t xml:space="preserve">begin at 26% and rise to 28% at higher income levels. </w:t>
      </w:r>
      <w:r w:rsidR="00217316">
        <w:t xml:space="preserve">That </w:t>
      </w:r>
      <w:r w:rsidR="00225621">
        <w:t xml:space="preserve">top </w:t>
      </w:r>
      <w:r w:rsidR="00AF65D4">
        <w:t xml:space="preserve">rate is lower than the maximum </w:t>
      </w:r>
      <w:r w:rsidR="00EA713C">
        <w:t xml:space="preserve">regular </w:t>
      </w:r>
      <w:r w:rsidR="00AF65D4">
        <w:t xml:space="preserve">income tax rate of </w:t>
      </w:r>
      <w:r w:rsidR="004D2F6B">
        <w:t>37</w:t>
      </w:r>
      <w:r w:rsidR="00AF65D4">
        <w:t>%, but far fewer deductions are allowed</w:t>
      </w:r>
      <w:r w:rsidR="00EA713C">
        <w:t xml:space="preserve"> for </w:t>
      </w:r>
      <w:r w:rsidR="00366372">
        <w:t xml:space="preserve">the </w:t>
      </w:r>
      <w:r w:rsidR="00EA713C">
        <w:t>AMT</w:t>
      </w:r>
      <w:r w:rsidR="00AF65D4">
        <w:t>.</w:t>
      </w:r>
      <w:r w:rsidR="003F3A0D">
        <w:t xml:space="preserve"> For </w:t>
      </w:r>
      <w:r w:rsidR="00BD007D">
        <w:t>example</w:t>
      </w:r>
      <w:r w:rsidR="003F3A0D">
        <w:t>, you can’t deduct state and local income or sales taxes, property taxes</w:t>
      </w:r>
      <w:r w:rsidR="00F62C82">
        <w:t xml:space="preserve"> and certain other expenses.</w:t>
      </w:r>
      <w:r w:rsidR="003F3A0D">
        <w:t xml:space="preserve"> </w:t>
      </w:r>
    </w:p>
    <w:p w14:paraId="77CD07A9" w14:textId="6BF43332" w:rsidR="003F3A0D" w:rsidRPr="007C4667" w:rsidRDefault="004623C0" w:rsidP="00206A4B">
      <w:pPr>
        <w:spacing w:after="200" w:line="240" w:lineRule="auto"/>
        <w:rPr>
          <w:b/>
          <w:bCs/>
        </w:rPr>
      </w:pPr>
      <w:r>
        <w:rPr>
          <w:b/>
          <w:bCs/>
        </w:rPr>
        <w:t>Itemized deductions</w:t>
      </w:r>
    </w:p>
    <w:p w14:paraId="32009714" w14:textId="689E7435" w:rsidR="005374DD" w:rsidRDefault="00754BCA" w:rsidP="00206A4B">
      <w:pPr>
        <w:spacing w:after="200" w:line="240" w:lineRule="auto"/>
      </w:pPr>
      <w:r w:rsidRPr="00DD0EBE">
        <w:t xml:space="preserve">The </w:t>
      </w:r>
      <w:r>
        <w:t xml:space="preserve">AMT </w:t>
      </w:r>
      <w:r w:rsidRPr="00DD0EBE">
        <w:t xml:space="preserve">exemption </w:t>
      </w:r>
      <w:r w:rsidR="005B100B">
        <w:t xml:space="preserve">phases out </w:t>
      </w:r>
      <w:r w:rsidRPr="00DD0EBE">
        <w:t>when your AMT income surpasses the applicable threshold</w:t>
      </w:r>
      <w:r w:rsidR="001552A8">
        <w:t xml:space="preserve">, so </w:t>
      </w:r>
      <w:r>
        <w:t>h</w:t>
      </w:r>
      <w:r w:rsidR="005374DD">
        <w:t xml:space="preserve">igh-income earners </w:t>
      </w:r>
      <w:r w:rsidR="005B100B">
        <w:t xml:space="preserve">remain </w:t>
      </w:r>
      <w:r>
        <w:t xml:space="preserve">susceptible. </w:t>
      </w:r>
      <w:r w:rsidR="001552A8">
        <w:t>However, even some taxpayers who consider themselves middle-income earners may trigger the AMT by exercising incentive stock options or incurring large capital gains.</w:t>
      </w:r>
    </w:p>
    <w:p w14:paraId="6485108A" w14:textId="21DCF9BC" w:rsidR="005374DD" w:rsidRDefault="00462308" w:rsidP="00206A4B">
      <w:pPr>
        <w:spacing w:after="200" w:line="240" w:lineRule="auto"/>
      </w:pPr>
      <w:r>
        <w:t xml:space="preserve">Also, if you typically </w:t>
      </w:r>
      <w:r w:rsidR="00EA713C">
        <w:t xml:space="preserve">claim </w:t>
      </w:r>
      <w:r>
        <w:t xml:space="preserve">many </w:t>
      </w:r>
      <w:r w:rsidR="005374DD">
        <w:t xml:space="preserve">itemized deductions </w:t>
      </w:r>
      <w:r>
        <w:t xml:space="preserve">for expenses that aren’t deductible for AMT purposes, you might find yourself falling into the AMT net. These include </w:t>
      </w:r>
      <w:r w:rsidR="005374DD">
        <w:t xml:space="preserve">state and local income taxes </w:t>
      </w:r>
      <w:r w:rsidR="000F1708">
        <w:t xml:space="preserve">and </w:t>
      </w:r>
      <w:r w:rsidR="005374DD">
        <w:t>property taxes</w:t>
      </w:r>
      <w:r w:rsidR="000F1708">
        <w:t>.</w:t>
      </w:r>
    </w:p>
    <w:p w14:paraId="37F19909" w14:textId="7EDA1D39" w:rsidR="00F346C7" w:rsidRDefault="00F346C7" w:rsidP="00206A4B">
      <w:pPr>
        <w:spacing w:after="200" w:line="240" w:lineRule="auto"/>
      </w:pPr>
      <w:r>
        <w:t>If you’re on the threshold of AMT liability this year, you might want to consider delaying state tax payments</w:t>
      </w:r>
      <w:r w:rsidR="00225621">
        <w:t xml:space="preserve"> </w:t>
      </w:r>
      <w:r w:rsidR="00225621">
        <w:rPr>
          <w:rFonts w:cs="Times New Roman"/>
        </w:rPr>
        <w:t>—</w:t>
      </w:r>
      <w:r>
        <w:t xml:space="preserve"> as long as the late-payment penalty won’t exceed the tax savings from staying under the AMT threshold.</w:t>
      </w:r>
    </w:p>
    <w:p w14:paraId="0E106400" w14:textId="0C2B1E0B" w:rsidR="00AF65D4" w:rsidRPr="00560E70" w:rsidRDefault="004623C0" w:rsidP="00206A4B">
      <w:pPr>
        <w:spacing w:after="200" w:line="240" w:lineRule="auto"/>
        <w:rPr>
          <w:b/>
          <w:bCs/>
        </w:rPr>
      </w:pPr>
      <w:r>
        <w:rPr>
          <w:b/>
          <w:bCs/>
        </w:rPr>
        <w:t>Appropriate strategies</w:t>
      </w:r>
    </w:p>
    <w:p w14:paraId="25D9187D" w14:textId="4D1184F9" w:rsidR="00AF65D4" w:rsidRDefault="00016F30" w:rsidP="00206A4B">
      <w:pPr>
        <w:spacing w:after="200" w:line="240" w:lineRule="auto"/>
      </w:pPr>
      <w:r>
        <w:t>Since passage of the TCJA, the AMT may have become an afterthought for many people</w:t>
      </w:r>
      <w:r w:rsidR="0025077E">
        <w:t>.</w:t>
      </w:r>
      <w:r>
        <w:t xml:space="preserve"> </w:t>
      </w:r>
      <w:r w:rsidR="00DC6E75">
        <w:t xml:space="preserve">However, it’s still worth a look to see whether it could create </w:t>
      </w:r>
      <w:r w:rsidR="0025077E">
        <w:t>undesirable</w:t>
      </w:r>
      <w:r w:rsidR="00DC6E75">
        <w:t xml:space="preserve"> tax consequences</w:t>
      </w:r>
      <w:r w:rsidR="0025077E">
        <w:t xml:space="preserve"> for </w:t>
      </w:r>
      <w:r w:rsidR="0025077E">
        <w:lastRenderedPageBreak/>
        <w:t>you</w:t>
      </w:r>
      <w:r w:rsidR="00DC6E75">
        <w:t xml:space="preserve">. </w:t>
      </w:r>
      <w:r w:rsidR="00AF65D4">
        <w:t xml:space="preserve">Please contact us for help assessing your </w:t>
      </w:r>
      <w:r w:rsidR="00FE2023">
        <w:t xml:space="preserve">exposure to the AMT and, </w:t>
      </w:r>
      <w:r w:rsidR="00AF65D4">
        <w:t xml:space="preserve">if necessary, implementing appropriate strategies for your </w:t>
      </w:r>
      <w:r w:rsidR="00FE2023">
        <w:t xml:space="preserve">tax </w:t>
      </w:r>
      <w:r w:rsidR="00AF65D4">
        <w:t>situation.</w:t>
      </w:r>
    </w:p>
    <w:p w14:paraId="63A62ABE" w14:textId="77777777" w:rsidR="0085015A" w:rsidRDefault="0085015A" w:rsidP="00206A4B">
      <w:pPr>
        <w:spacing w:after="200" w:line="240" w:lineRule="auto"/>
      </w:pPr>
    </w:p>
    <w:p w14:paraId="367D9041" w14:textId="53B1CA5F" w:rsidR="00DC6E75" w:rsidRPr="007033D2" w:rsidRDefault="00F346C7" w:rsidP="00206A4B">
      <w:pPr>
        <w:spacing w:after="200" w:line="240" w:lineRule="auto"/>
        <w:rPr>
          <w:b/>
          <w:bCs/>
          <w:sz w:val="28"/>
          <w:szCs w:val="28"/>
        </w:rPr>
      </w:pPr>
      <w:r w:rsidRPr="007033D2">
        <w:rPr>
          <w:b/>
          <w:bCs/>
          <w:sz w:val="28"/>
          <w:szCs w:val="28"/>
        </w:rPr>
        <w:t xml:space="preserve">Sidebar: </w:t>
      </w:r>
      <w:r w:rsidR="00FE2023" w:rsidRPr="007033D2">
        <w:rPr>
          <w:b/>
          <w:bCs/>
          <w:sz w:val="28"/>
          <w:szCs w:val="28"/>
        </w:rPr>
        <w:t xml:space="preserve">Investors beware: </w:t>
      </w:r>
      <w:r w:rsidR="00EE6F3C" w:rsidRPr="007033D2">
        <w:rPr>
          <w:b/>
          <w:bCs/>
          <w:sz w:val="28"/>
          <w:szCs w:val="28"/>
        </w:rPr>
        <w:t>C</w:t>
      </w:r>
      <w:r w:rsidRPr="007033D2">
        <w:rPr>
          <w:b/>
          <w:bCs/>
          <w:sz w:val="28"/>
          <w:szCs w:val="28"/>
        </w:rPr>
        <w:t>apital gains</w:t>
      </w:r>
      <w:r w:rsidR="00EE6F3C" w:rsidRPr="007033D2">
        <w:rPr>
          <w:b/>
          <w:bCs/>
          <w:sz w:val="28"/>
          <w:szCs w:val="28"/>
        </w:rPr>
        <w:t xml:space="preserve"> could trigger AMT</w:t>
      </w:r>
    </w:p>
    <w:p w14:paraId="60C3E4AA" w14:textId="63B84FA1" w:rsidR="00603D5E" w:rsidRDefault="00EE6F3C" w:rsidP="00206A4B">
      <w:pPr>
        <w:spacing w:after="200" w:line="240" w:lineRule="auto"/>
      </w:pPr>
      <w:r>
        <w:t xml:space="preserve">Many higher-income individuals and couples are active investors. Because the alternative minimum tax (AMT) </w:t>
      </w:r>
      <w:r w:rsidR="00F346C7">
        <w:t>exemption phases out based on income, realizing</w:t>
      </w:r>
      <w:r w:rsidR="00EA713C">
        <w:t xml:space="preserve"> substantial</w:t>
      </w:r>
      <w:r w:rsidR="00F346C7">
        <w:t xml:space="preserve"> capital gains could cause you to lose part or all of </w:t>
      </w:r>
      <w:r w:rsidR="00603D5E">
        <w:t xml:space="preserve">that </w:t>
      </w:r>
      <w:r w:rsidR="00F346C7">
        <w:t>exemption</w:t>
      </w:r>
      <w:r w:rsidR="00603D5E">
        <w:t xml:space="preserve"> and, thus, subject you to AMT liability</w:t>
      </w:r>
      <w:r w:rsidR="00F346C7">
        <w:t>.</w:t>
      </w:r>
    </w:p>
    <w:p w14:paraId="148D27A3" w14:textId="41A00984" w:rsidR="00AF65D4" w:rsidRDefault="00F346C7" w:rsidP="00206A4B">
      <w:pPr>
        <w:spacing w:after="200" w:line="240" w:lineRule="auto"/>
      </w:pPr>
      <w:r>
        <w:t xml:space="preserve">If it looks like you could </w:t>
      </w:r>
      <w:r w:rsidR="00603D5E">
        <w:t xml:space="preserve">get hit by the </w:t>
      </w:r>
      <w:r>
        <w:t>AMT this year, you might want to delay sales of highly appreciated assets until next year (if you don’t expect to be subject to the AMT then) or use an installment sale to spread the gains (and potential AMT liability) over multiple years.</w:t>
      </w:r>
      <w:r w:rsidR="00C02F4A">
        <w:t xml:space="preserve"> Contact us to discuss further.</w:t>
      </w:r>
    </w:p>
    <w:p w14:paraId="3399D82F" w14:textId="2C0823F4" w:rsidR="002E28FA" w:rsidRPr="002E28FA" w:rsidRDefault="002E28FA" w:rsidP="00206A4B">
      <w:pPr>
        <w:spacing w:after="200" w:line="240" w:lineRule="auto"/>
        <w:rPr>
          <w:i/>
          <w:iCs/>
        </w:rPr>
      </w:pPr>
      <w:r>
        <w:rPr>
          <w:rFonts w:cs="Times New Roman"/>
        </w:rPr>
        <w:t>©</w:t>
      </w:r>
      <w:r>
        <w:t xml:space="preserve"> </w:t>
      </w:r>
      <w:r>
        <w:rPr>
          <w:i/>
          <w:iCs/>
        </w:rPr>
        <w:t>2020</w:t>
      </w:r>
      <w:bookmarkStart w:id="0" w:name="_GoBack"/>
      <w:bookmarkEnd w:id="0"/>
    </w:p>
    <w:sectPr w:rsidR="002E28FA" w:rsidRPr="002E2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D4"/>
    <w:rsid w:val="00016F30"/>
    <w:rsid w:val="00017DE2"/>
    <w:rsid w:val="00055B79"/>
    <w:rsid w:val="0009552B"/>
    <w:rsid w:val="000B2734"/>
    <w:rsid w:val="000E57A4"/>
    <w:rsid w:val="000F1708"/>
    <w:rsid w:val="001552A8"/>
    <w:rsid w:val="0016369A"/>
    <w:rsid w:val="00166551"/>
    <w:rsid w:val="001E1103"/>
    <w:rsid w:val="00206A4B"/>
    <w:rsid w:val="00217316"/>
    <w:rsid w:val="00225621"/>
    <w:rsid w:val="0025077E"/>
    <w:rsid w:val="002A71D9"/>
    <w:rsid w:val="002E0696"/>
    <w:rsid w:val="002E28FA"/>
    <w:rsid w:val="00304D7A"/>
    <w:rsid w:val="003405ED"/>
    <w:rsid w:val="00366372"/>
    <w:rsid w:val="003853B4"/>
    <w:rsid w:val="003D4CC1"/>
    <w:rsid w:val="003F3A0D"/>
    <w:rsid w:val="00421D48"/>
    <w:rsid w:val="00462308"/>
    <w:rsid w:val="004623C0"/>
    <w:rsid w:val="004D2F6B"/>
    <w:rsid w:val="004E1954"/>
    <w:rsid w:val="004F7122"/>
    <w:rsid w:val="005374DD"/>
    <w:rsid w:val="00552EE6"/>
    <w:rsid w:val="00560E70"/>
    <w:rsid w:val="00585484"/>
    <w:rsid w:val="005A6F9E"/>
    <w:rsid w:val="005B100B"/>
    <w:rsid w:val="005C6FE6"/>
    <w:rsid w:val="00603D5E"/>
    <w:rsid w:val="00604D0C"/>
    <w:rsid w:val="0063457C"/>
    <w:rsid w:val="006A1102"/>
    <w:rsid w:val="006B06B1"/>
    <w:rsid w:val="007033D2"/>
    <w:rsid w:val="00754BCA"/>
    <w:rsid w:val="00767D10"/>
    <w:rsid w:val="00787948"/>
    <w:rsid w:val="007C0E9A"/>
    <w:rsid w:val="007C4667"/>
    <w:rsid w:val="0081531D"/>
    <w:rsid w:val="008370FB"/>
    <w:rsid w:val="008447FD"/>
    <w:rsid w:val="0085015A"/>
    <w:rsid w:val="0086481B"/>
    <w:rsid w:val="008B7E1A"/>
    <w:rsid w:val="008C0A4D"/>
    <w:rsid w:val="008D0007"/>
    <w:rsid w:val="009416D0"/>
    <w:rsid w:val="009723D7"/>
    <w:rsid w:val="00975FDC"/>
    <w:rsid w:val="00A06C3B"/>
    <w:rsid w:val="00A27174"/>
    <w:rsid w:val="00A3705F"/>
    <w:rsid w:val="00A518B1"/>
    <w:rsid w:val="00A579FD"/>
    <w:rsid w:val="00A7098E"/>
    <w:rsid w:val="00A83BBA"/>
    <w:rsid w:val="00AD58AB"/>
    <w:rsid w:val="00AF65D4"/>
    <w:rsid w:val="00B61103"/>
    <w:rsid w:val="00B70AA3"/>
    <w:rsid w:val="00B841C6"/>
    <w:rsid w:val="00BD007D"/>
    <w:rsid w:val="00BD452F"/>
    <w:rsid w:val="00BD5A04"/>
    <w:rsid w:val="00BF7CB9"/>
    <w:rsid w:val="00C02F4A"/>
    <w:rsid w:val="00C17CF8"/>
    <w:rsid w:val="00C5035E"/>
    <w:rsid w:val="00C60685"/>
    <w:rsid w:val="00C66B82"/>
    <w:rsid w:val="00CA7ADA"/>
    <w:rsid w:val="00D00F59"/>
    <w:rsid w:val="00D5162F"/>
    <w:rsid w:val="00D760D2"/>
    <w:rsid w:val="00D83E89"/>
    <w:rsid w:val="00D8562B"/>
    <w:rsid w:val="00DC6E75"/>
    <w:rsid w:val="00DD0EBE"/>
    <w:rsid w:val="00E7605F"/>
    <w:rsid w:val="00EA713C"/>
    <w:rsid w:val="00EE6F3C"/>
    <w:rsid w:val="00F00EB7"/>
    <w:rsid w:val="00F346C7"/>
    <w:rsid w:val="00F62C82"/>
    <w:rsid w:val="00FE2023"/>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6FAA"/>
  <w15:chartTrackingRefBased/>
  <w15:docId w15:val="{F9E41865-1B19-4EAE-9D96-19F870EB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2C82"/>
    <w:rPr>
      <w:sz w:val="16"/>
      <w:szCs w:val="16"/>
    </w:rPr>
  </w:style>
  <w:style w:type="paragraph" w:styleId="CommentText">
    <w:name w:val="annotation text"/>
    <w:basedOn w:val="Normal"/>
    <w:link w:val="CommentTextChar"/>
    <w:uiPriority w:val="99"/>
    <w:semiHidden/>
    <w:unhideWhenUsed/>
    <w:rsid w:val="00F62C82"/>
    <w:pPr>
      <w:spacing w:line="240" w:lineRule="auto"/>
    </w:pPr>
    <w:rPr>
      <w:sz w:val="20"/>
      <w:szCs w:val="20"/>
    </w:rPr>
  </w:style>
  <w:style w:type="character" w:customStyle="1" w:styleId="CommentTextChar">
    <w:name w:val="Comment Text Char"/>
    <w:basedOn w:val="DefaultParagraphFont"/>
    <w:link w:val="CommentText"/>
    <w:uiPriority w:val="99"/>
    <w:semiHidden/>
    <w:rsid w:val="00F62C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2C82"/>
    <w:rPr>
      <w:b/>
      <w:bCs/>
    </w:rPr>
  </w:style>
  <w:style w:type="character" w:customStyle="1" w:styleId="CommentSubjectChar">
    <w:name w:val="Comment Subject Char"/>
    <w:basedOn w:val="CommentTextChar"/>
    <w:link w:val="CommentSubject"/>
    <w:uiPriority w:val="99"/>
    <w:semiHidden/>
    <w:rsid w:val="00F62C82"/>
    <w:rPr>
      <w:rFonts w:ascii="Times New Roman" w:hAnsi="Times New Roman"/>
      <w:b/>
      <w:bCs/>
      <w:sz w:val="20"/>
      <w:szCs w:val="20"/>
    </w:rPr>
  </w:style>
  <w:style w:type="paragraph" w:styleId="BalloonText">
    <w:name w:val="Balloon Text"/>
    <w:basedOn w:val="Normal"/>
    <w:link w:val="BalloonTextChar"/>
    <w:uiPriority w:val="99"/>
    <w:semiHidden/>
    <w:unhideWhenUsed/>
    <w:rsid w:val="00F62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4F861D-8273-4C1C-9568-695303A99565}">
  <ds:schemaRefs>
    <ds:schemaRef ds:uri="http://schemas.microsoft.com/sharepoint/v3/contenttype/forms"/>
  </ds:schemaRefs>
</ds:datastoreItem>
</file>

<file path=customXml/itemProps2.xml><?xml version="1.0" encoding="utf-8"?>
<ds:datastoreItem xmlns:ds="http://schemas.openxmlformats.org/officeDocument/2006/customXml" ds:itemID="{037FB95F-C195-491B-827F-4BBD60344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F87BE-B22A-45D4-A87D-B5633F96340A}">
  <ds:schemaRefs>
    <ds:schemaRef ds:uri="http://schemas.microsoft.com/office/2006/documentManagement/types"/>
    <ds:schemaRef ds:uri="http://www.w3.org/XML/1998/namespace"/>
    <ds:schemaRef ds:uri="http://purl.org/dc/terms/"/>
    <ds:schemaRef ds:uri="3f3b3382-7005-45e0-adac-ca66d19e4502"/>
    <ds:schemaRef ds:uri="http://purl.org/dc/elements/1.1/"/>
    <ds:schemaRef ds:uri="http://purl.org/dc/dcmitype/"/>
    <ds:schemaRef ds:uri="5780ff4a-8397-4f78-a7bb-31364ea346f1"/>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6</cp:revision>
  <dcterms:created xsi:type="dcterms:W3CDTF">2020-07-16T17:09:00Z</dcterms:created>
  <dcterms:modified xsi:type="dcterms:W3CDTF">2020-07-16T19:50:00Z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