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CE72E" w14:textId="54918695" w:rsidR="00925949" w:rsidRPr="00925949" w:rsidRDefault="00925949" w:rsidP="00CA0A7B">
      <w:pPr>
        <w:spacing w:after="200" w:line="240" w:lineRule="auto"/>
        <w:rPr>
          <w:b/>
          <w:bCs/>
        </w:rPr>
      </w:pPr>
      <w:r w:rsidRPr="00925949">
        <w:rPr>
          <w:b/>
          <w:bCs/>
        </w:rPr>
        <w:t>Abstract:</w:t>
      </w:r>
      <w:r w:rsidR="009A2208">
        <w:rPr>
          <w:b/>
          <w:bCs/>
        </w:rPr>
        <w:t xml:space="preserve">   </w:t>
      </w:r>
      <w:r w:rsidR="009A2208">
        <w:rPr>
          <w:rFonts w:cs="Times New Roman"/>
          <w:bCs/>
        </w:rPr>
        <w:t>Nonqualified deferred compensation plans allow participants to set aside large amounts of tax-deferred compensation, but also pose substantial risks.</w:t>
      </w:r>
      <w:r w:rsidR="00461511">
        <w:rPr>
          <w:rFonts w:cs="Times New Roman"/>
          <w:bCs/>
        </w:rPr>
        <w:t xml:space="preserve"> This article distinguishes NQCD plans from qualified defined contribution plans and discusses the pros and cons.</w:t>
      </w:r>
    </w:p>
    <w:p w14:paraId="55594B57" w14:textId="6B00D6CB" w:rsidR="00925949" w:rsidRPr="00925949" w:rsidRDefault="00461511" w:rsidP="00CA0A7B">
      <w:pPr>
        <w:spacing w:after="200" w:line="240" w:lineRule="auto"/>
        <w:rPr>
          <w:b/>
          <w:bCs/>
        </w:rPr>
      </w:pPr>
      <w:r>
        <w:rPr>
          <w:b/>
          <w:bCs/>
          <w:sz w:val="28"/>
          <w:szCs w:val="24"/>
        </w:rPr>
        <w:t xml:space="preserve">The pros and cons of </w:t>
      </w:r>
      <w:r w:rsidR="00925949" w:rsidRPr="00925949">
        <w:rPr>
          <w:b/>
          <w:bCs/>
          <w:sz w:val="28"/>
          <w:szCs w:val="24"/>
        </w:rPr>
        <w:t>NQDC plans</w:t>
      </w:r>
    </w:p>
    <w:p w14:paraId="595B5619" w14:textId="02DC351C" w:rsidR="00F13AD4" w:rsidRDefault="00F13AD4" w:rsidP="00CA0A7B">
      <w:pPr>
        <w:spacing w:after="200" w:line="240" w:lineRule="auto"/>
        <w:rPr>
          <w:rFonts w:cs="Times New Roman"/>
          <w:bCs/>
        </w:rPr>
      </w:pPr>
      <w:r>
        <w:rPr>
          <w:rFonts w:cs="Times New Roman"/>
          <w:bCs/>
        </w:rPr>
        <w:t xml:space="preserve">Nonqualified deferred compensation (NQDC) plans allow </w:t>
      </w:r>
      <w:r w:rsidR="00C2729A">
        <w:rPr>
          <w:rFonts w:cs="Times New Roman"/>
          <w:bCs/>
        </w:rPr>
        <w:t xml:space="preserve">participants </w:t>
      </w:r>
      <w:r>
        <w:rPr>
          <w:rFonts w:cs="Times New Roman"/>
          <w:bCs/>
        </w:rPr>
        <w:t>to set aside large amounts of tax-deferred compensation</w:t>
      </w:r>
      <w:r w:rsidR="00C2729A">
        <w:rPr>
          <w:rFonts w:cs="Times New Roman"/>
          <w:bCs/>
        </w:rPr>
        <w:t xml:space="preserve"> while enjoying the </w:t>
      </w:r>
      <w:r>
        <w:rPr>
          <w:rFonts w:cs="Times New Roman"/>
          <w:bCs/>
        </w:rPr>
        <w:t xml:space="preserve">flexibility to schedule distributions to align with </w:t>
      </w:r>
      <w:r w:rsidR="00C2729A">
        <w:rPr>
          <w:rFonts w:cs="Times New Roman"/>
          <w:bCs/>
        </w:rPr>
        <w:t xml:space="preserve">their </w:t>
      </w:r>
      <w:r>
        <w:rPr>
          <w:rFonts w:cs="Times New Roman"/>
          <w:bCs/>
        </w:rPr>
        <w:t>financial goals.</w:t>
      </w:r>
      <w:r w:rsidR="00C2729A">
        <w:rPr>
          <w:rFonts w:cs="Times New Roman"/>
          <w:bCs/>
        </w:rPr>
        <w:t xml:space="preserve"> </w:t>
      </w:r>
      <w:r>
        <w:rPr>
          <w:rFonts w:cs="Times New Roman"/>
          <w:bCs/>
        </w:rPr>
        <w:t xml:space="preserve">However, </w:t>
      </w:r>
      <w:r w:rsidR="00E85181">
        <w:rPr>
          <w:rFonts w:cs="Times New Roman"/>
          <w:bCs/>
        </w:rPr>
        <w:t xml:space="preserve">the </w:t>
      </w:r>
      <w:r>
        <w:rPr>
          <w:rFonts w:cs="Times New Roman"/>
          <w:bCs/>
        </w:rPr>
        <w:t xml:space="preserve">plans also pose substantial risks. If your </w:t>
      </w:r>
      <w:r w:rsidR="00E85181">
        <w:rPr>
          <w:rFonts w:cs="Times New Roman"/>
          <w:bCs/>
        </w:rPr>
        <w:t xml:space="preserve">(or a prospective) </w:t>
      </w:r>
      <w:r>
        <w:rPr>
          <w:rFonts w:cs="Times New Roman"/>
          <w:bCs/>
        </w:rPr>
        <w:t xml:space="preserve">employer offers an NQDC plan, </w:t>
      </w:r>
      <w:r w:rsidR="00C2729A">
        <w:rPr>
          <w:rFonts w:cs="Times New Roman"/>
          <w:bCs/>
        </w:rPr>
        <w:t xml:space="preserve">or you’re considering one for your business, </w:t>
      </w:r>
      <w:r>
        <w:rPr>
          <w:rFonts w:cs="Times New Roman"/>
          <w:bCs/>
        </w:rPr>
        <w:t xml:space="preserve">weigh the pros and cons </w:t>
      </w:r>
      <w:r w:rsidR="00C2729A">
        <w:rPr>
          <w:rFonts w:cs="Times New Roman"/>
          <w:bCs/>
        </w:rPr>
        <w:t>carefully.</w:t>
      </w:r>
    </w:p>
    <w:p w14:paraId="2002F5DE" w14:textId="77777777" w:rsidR="00F13AD4" w:rsidRDefault="00F13AD4" w:rsidP="00CA0A7B">
      <w:pPr>
        <w:spacing w:after="200" w:line="240" w:lineRule="auto"/>
        <w:rPr>
          <w:rFonts w:cs="Times New Roman"/>
          <w:b/>
        </w:rPr>
      </w:pPr>
      <w:r>
        <w:rPr>
          <w:rFonts w:cs="Times New Roman"/>
          <w:b/>
        </w:rPr>
        <w:t>What’s the difference?</w:t>
      </w:r>
    </w:p>
    <w:p w14:paraId="2C56B1C2" w14:textId="28EBD6F6" w:rsidR="00301BBE" w:rsidRDefault="00F13AD4" w:rsidP="00CA0A7B">
      <w:pPr>
        <w:spacing w:after="200" w:line="240" w:lineRule="auto"/>
        <w:rPr>
          <w:rFonts w:cs="Times New Roman"/>
          <w:bCs/>
        </w:rPr>
      </w:pPr>
      <w:r>
        <w:rPr>
          <w:rFonts w:cs="Times New Roman"/>
          <w:bCs/>
        </w:rPr>
        <w:t>NQDC</w:t>
      </w:r>
      <w:r w:rsidR="0089713C">
        <w:rPr>
          <w:rFonts w:cs="Times New Roman"/>
          <w:bCs/>
        </w:rPr>
        <w:t xml:space="preserve"> plan</w:t>
      </w:r>
      <w:r>
        <w:rPr>
          <w:rFonts w:cs="Times New Roman"/>
          <w:bCs/>
        </w:rPr>
        <w:t xml:space="preserve">s differ </w:t>
      </w:r>
      <w:r w:rsidR="009A7355">
        <w:rPr>
          <w:rFonts w:cs="Times New Roman"/>
          <w:bCs/>
        </w:rPr>
        <w:t xml:space="preserve">significantly </w:t>
      </w:r>
      <w:r>
        <w:rPr>
          <w:rFonts w:cs="Times New Roman"/>
          <w:bCs/>
        </w:rPr>
        <w:t xml:space="preserve">from </w:t>
      </w:r>
      <w:r w:rsidRPr="00301BBE">
        <w:rPr>
          <w:rFonts w:cs="Times New Roman"/>
          <w:bCs/>
          <w:iCs/>
        </w:rPr>
        <w:t>qualified defined contribution</w:t>
      </w:r>
      <w:r w:rsidRPr="00BD0703">
        <w:rPr>
          <w:rFonts w:cs="Times New Roman"/>
          <w:bCs/>
          <w:i/>
        </w:rPr>
        <w:t xml:space="preserve"> </w:t>
      </w:r>
      <w:r w:rsidRPr="00BD0703">
        <w:rPr>
          <w:rFonts w:cs="Times New Roman"/>
          <w:bCs/>
        </w:rPr>
        <w:t>plans. The latter allow</w:t>
      </w:r>
      <w:r w:rsidR="00F90BBA">
        <w:rPr>
          <w:rFonts w:cs="Times New Roman"/>
          <w:bCs/>
        </w:rPr>
        <w:t>s</w:t>
      </w:r>
      <w:r w:rsidRPr="00BD0703">
        <w:rPr>
          <w:rFonts w:cs="Times New Roman"/>
          <w:bCs/>
        </w:rPr>
        <w:t xml:space="preserve"> employers to contribute on their employees’ behalf and employees to direct a portion of their salaries into segregated</w:t>
      </w:r>
      <w:r>
        <w:rPr>
          <w:rFonts w:cs="Times New Roman"/>
          <w:bCs/>
        </w:rPr>
        <w:t xml:space="preserve"> account</w:t>
      </w:r>
      <w:r w:rsidR="00854C50">
        <w:rPr>
          <w:rFonts w:cs="Times New Roman"/>
          <w:bCs/>
        </w:rPr>
        <w:t>s</w:t>
      </w:r>
      <w:r>
        <w:rPr>
          <w:rFonts w:cs="Times New Roman"/>
          <w:bCs/>
        </w:rPr>
        <w:t xml:space="preserve"> held in trust.</w:t>
      </w:r>
    </w:p>
    <w:p w14:paraId="2C9F17FF" w14:textId="6227CFAB" w:rsidR="00F13AD4" w:rsidRDefault="009A7355" w:rsidP="00CA0A7B">
      <w:pPr>
        <w:spacing w:after="200" w:line="240" w:lineRule="auto"/>
        <w:rPr>
          <w:rFonts w:cs="Times New Roman"/>
          <w:bCs/>
        </w:rPr>
      </w:pPr>
      <w:r>
        <w:rPr>
          <w:rFonts w:cs="Times New Roman"/>
          <w:bCs/>
        </w:rPr>
        <w:t xml:space="preserve">Qualified defined contribution plans </w:t>
      </w:r>
      <w:r w:rsidR="00F13AD4">
        <w:rPr>
          <w:rFonts w:cs="Times New Roman"/>
          <w:bCs/>
        </w:rPr>
        <w:t xml:space="preserve">also generally allow participants to direct the investment of their account balances among the plan’s investment options. </w:t>
      </w:r>
      <w:r w:rsidR="005A5585">
        <w:rPr>
          <w:rFonts w:cs="Times New Roman"/>
          <w:bCs/>
        </w:rPr>
        <w:t xml:space="preserve">The </w:t>
      </w:r>
      <w:r w:rsidR="00F13AD4">
        <w:rPr>
          <w:rFonts w:cs="Times New Roman"/>
          <w:bCs/>
        </w:rPr>
        <w:t>plans are subject to the applicable requirements of the Employee Retirement Income Security Act (ERISA) and the Internal Revenue Code, including annual contribution limits, penalties for early withdrawals, required minimum distributions and nondiscrimination rules.</w:t>
      </w:r>
    </w:p>
    <w:p w14:paraId="34C531F4" w14:textId="77777777" w:rsidR="00F13AD4" w:rsidRDefault="00F13AD4" w:rsidP="00CA0A7B">
      <w:pPr>
        <w:spacing w:after="200" w:line="240" w:lineRule="auto"/>
        <w:rPr>
          <w:rFonts w:cs="Times New Roman"/>
          <w:bCs/>
        </w:rPr>
      </w:pPr>
      <w:r>
        <w:rPr>
          <w:rFonts w:cs="Times New Roman"/>
          <w:bCs/>
        </w:rPr>
        <w:t xml:space="preserve">By contrast, an NQDC plan is simply an agreement with your employer to defer a portion of your compensation to a future date or dates. Many NQDC plans provide for matching or other employer contributions, while some permit only employer contributions. Employer contributions may be subject to a vesting schedule based on years of service, performance or the occurrence of an event (an IPO or sale, for example). </w:t>
      </w:r>
    </w:p>
    <w:p w14:paraId="63370DB8" w14:textId="3B7CE429" w:rsidR="00F13AD4" w:rsidRDefault="00F13AD4" w:rsidP="00CA0A7B">
      <w:pPr>
        <w:spacing w:after="200" w:line="240" w:lineRule="auto"/>
        <w:rPr>
          <w:rFonts w:cs="Times New Roman"/>
          <w:bCs/>
        </w:rPr>
      </w:pPr>
      <w:r>
        <w:rPr>
          <w:rFonts w:cs="Times New Roman"/>
          <w:bCs/>
        </w:rPr>
        <w:t>To avoid current taxation, NQDC plans may not be “funded,” and they can’t escape your employer’s creditors. The plan is secured only by your employer’s promise to pay. It’s possible to set aside funds in a special type of trust to ensure that your employer doesn’t use them for other purposes, but they remain subject to creditors’ claims.</w:t>
      </w:r>
    </w:p>
    <w:p w14:paraId="52162EF9" w14:textId="77777777" w:rsidR="00F13AD4" w:rsidRDefault="00F13AD4" w:rsidP="00CA0A7B">
      <w:pPr>
        <w:spacing w:after="200" w:line="240" w:lineRule="auto"/>
        <w:rPr>
          <w:rFonts w:cs="Times New Roman"/>
          <w:b/>
        </w:rPr>
      </w:pPr>
      <w:r>
        <w:rPr>
          <w:rFonts w:cs="Times New Roman"/>
          <w:b/>
        </w:rPr>
        <w:t>What are the pros?</w:t>
      </w:r>
    </w:p>
    <w:p w14:paraId="38DACD53" w14:textId="6F130E08" w:rsidR="00F13AD4" w:rsidRDefault="00F13AD4" w:rsidP="00CA0A7B">
      <w:pPr>
        <w:spacing w:after="200" w:line="240" w:lineRule="auto"/>
        <w:rPr>
          <w:rFonts w:cs="Times New Roman"/>
          <w:bCs/>
        </w:rPr>
      </w:pPr>
      <w:r>
        <w:rPr>
          <w:rFonts w:cs="Times New Roman"/>
          <w:bCs/>
        </w:rPr>
        <w:t xml:space="preserve">Like qualified plans, NQDC plans allow you to defer income taxes on compensation until you receive it — although you may have to pay FICA taxes in the year the compensation is earned. NQDC plans also offer significant advantages </w:t>
      </w:r>
      <w:r w:rsidR="007D1CEF">
        <w:rPr>
          <w:rFonts w:cs="Times New Roman"/>
          <w:bCs/>
        </w:rPr>
        <w:t>over qualified</w:t>
      </w:r>
      <w:r>
        <w:rPr>
          <w:rFonts w:cs="Times New Roman"/>
          <w:bCs/>
        </w:rPr>
        <w:t xml:space="preserve"> plans. Depending on the specific plan’s limits and distribution rules, you may </w:t>
      </w:r>
      <w:r w:rsidR="005A5585">
        <w:rPr>
          <w:rFonts w:cs="Times New Roman"/>
          <w:bCs/>
        </w:rPr>
        <w:t>have no c</w:t>
      </w:r>
      <w:r>
        <w:rPr>
          <w:rFonts w:cs="Times New Roman"/>
          <w:bCs/>
        </w:rPr>
        <w:t>ontribution limits, allowing you to set aside substantial amounts of wealth</w:t>
      </w:r>
      <w:r w:rsidR="005A5585">
        <w:rPr>
          <w:rFonts w:cs="Times New Roman"/>
          <w:bCs/>
        </w:rPr>
        <w:t>. Participants may also enjoy g</w:t>
      </w:r>
      <w:r>
        <w:rPr>
          <w:rFonts w:cs="Times New Roman"/>
          <w:bCs/>
        </w:rPr>
        <w:t xml:space="preserve">reater flexibility to schedule distributions to fund retirement, college expenses or other financial goals without penalty for distributions before age 59½ </w:t>
      </w:r>
      <w:r w:rsidR="005A5585">
        <w:rPr>
          <w:rFonts w:cs="Times New Roman"/>
          <w:bCs/>
        </w:rPr>
        <w:t xml:space="preserve">or </w:t>
      </w:r>
      <w:r>
        <w:rPr>
          <w:rFonts w:cs="Times New Roman"/>
          <w:bCs/>
        </w:rPr>
        <w:t xml:space="preserve">required distributions at </w:t>
      </w:r>
      <w:r w:rsidR="005A5585">
        <w:rPr>
          <w:rFonts w:cs="Times New Roman"/>
          <w:bCs/>
        </w:rPr>
        <w:t xml:space="preserve">a certain </w:t>
      </w:r>
      <w:r>
        <w:rPr>
          <w:rFonts w:cs="Times New Roman"/>
          <w:bCs/>
        </w:rPr>
        <w:t>age</w:t>
      </w:r>
      <w:r w:rsidR="005A5585">
        <w:rPr>
          <w:rFonts w:cs="Times New Roman"/>
          <w:bCs/>
        </w:rPr>
        <w:t>.</w:t>
      </w:r>
    </w:p>
    <w:p w14:paraId="3D03C46A" w14:textId="77777777" w:rsidR="00F13AD4" w:rsidRDefault="00F13AD4" w:rsidP="00CA0A7B">
      <w:pPr>
        <w:spacing w:after="200" w:line="240" w:lineRule="auto"/>
        <w:rPr>
          <w:rFonts w:cs="Times New Roman"/>
          <w:bCs/>
        </w:rPr>
      </w:pPr>
      <w:r>
        <w:rPr>
          <w:rFonts w:cs="Times New Roman"/>
          <w:bCs/>
        </w:rPr>
        <w:t>From an employer’s perspective, NQDC plans are attractive because they can be limited to highly compensated employees and they avoid the cost of compliance with ERISA’s reporting and administrative requirements. However, unlike contributions to qualified plans, deferred compensation isn’t deductible by the employer until it’s paid.</w:t>
      </w:r>
    </w:p>
    <w:p w14:paraId="5492F97D" w14:textId="77777777" w:rsidR="00F13AD4" w:rsidRPr="007B004F" w:rsidRDefault="00F13AD4" w:rsidP="00CA0A7B">
      <w:pPr>
        <w:spacing w:after="200" w:line="240" w:lineRule="auto"/>
        <w:rPr>
          <w:rFonts w:cs="Times New Roman"/>
          <w:b/>
          <w:bCs/>
        </w:rPr>
      </w:pPr>
      <w:r w:rsidRPr="007B004F">
        <w:rPr>
          <w:rFonts w:cs="Times New Roman"/>
          <w:b/>
          <w:bCs/>
        </w:rPr>
        <w:lastRenderedPageBreak/>
        <w:t>And the cons?</w:t>
      </w:r>
    </w:p>
    <w:p w14:paraId="257A083A" w14:textId="02ED17DA" w:rsidR="00F13AD4" w:rsidRPr="007B004F" w:rsidRDefault="00F13AD4" w:rsidP="00CA0A7B">
      <w:pPr>
        <w:spacing w:after="200" w:line="240" w:lineRule="auto"/>
        <w:rPr>
          <w:rFonts w:cs="Times New Roman"/>
          <w:bCs/>
        </w:rPr>
      </w:pPr>
      <w:r>
        <w:rPr>
          <w:rFonts w:cs="Times New Roman"/>
          <w:bCs/>
        </w:rPr>
        <w:t xml:space="preserve">The biggest disadvantage of NQDC plans for participants is that deferred compensation is subject to the claims of the employer’s creditors and could be lost in the event of bankruptcy or insolvency. Also, you may not be able to </w:t>
      </w:r>
      <w:r w:rsidRPr="007B004F">
        <w:rPr>
          <w:rFonts w:cs="Times New Roman"/>
          <w:bCs/>
        </w:rPr>
        <w:t>take loans from the plan</w:t>
      </w:r>
      <w:r>
        <w:rPr>
          <w:rFonts w:cs="Times New Roman"/>
          <w:bCs/>
        </w:rPr>
        <w:t xml:space="preserve"> and can’t </w:t>
      </w:r>
      <w:r w:rsidRPr="007B004F">
        <w:rPr>
          <w:rFonts w:cs="Times New Roman"/>
          <w:bCs/>
        </w:rPr>
        <w:t>roll over distributions into an IRA, qualified plan or other retirement account.</w:t>
      </w:r>
      <w:r>
        <w:rPr>
          <w:rFonts w:cs="Times New Roman"/>
          <w:bCs/>
        </w:rPr>
        <w:t xml:space="preserve"> What’s more, there are l</w:t>
      </w:r>
      <w:r w:rsidRPr="007B004F">
        <w:rPr>
          <w:rFonts w:cs="Times New Roman"/>
          <w:bCs/>
        </w:rPr>
        <w:t xml:space="preserve">imitations on the timing of deferral </w:t>
      </w:r>
      <w:r>
        <w:rPr>
          <w:rFonts w:cs="Times New Roman"/>
          <w:bCs/>
        </w:rPr>
        <w:t>elections.</w:t>
      </w:r>
    </w:p>
    <w:p w14:paraId="208AAE14" w14:textId="77777777" w:rsidR="00F13AD4" w:rsidRDefault="00F13AD4" w:rsidP="00CA0A7B">
      <w:pPr>
        <w:spacing w:after="200" w:line="240" w:lineRule="auto"/>
        <w:rPr>
          <w:rFonts w:cs="Times New Roman"/>
          <w:b/>
        </w:rPr>
      </w:pPr>
      <w:r>
        <w:rPr>
          <w:rFonts w:cs="Times New Roman"/>
          <w:b/>
        </w:rPr>
        <w:t>Is it right for you?</w:t>
      </w:r>
    </w:p>
    <w:p w14:paraId="25C848A6" w14:textId="792F789F" w:rsidR="00472171" w:rsidRDefault="00F13AD4" w:rsidP="00CA0A7B">
      <w:pPr>
        <w:spacing w:after="200" w:line="240" w:lineRule="auto"/>
        <w:rPr>
          <w:rFonts w:cs="Times New Roman"/>
          <w:bCs/>
        </w:rPr>
      </w:pPr>
      <w:r>
        <w:rPr>
          <w:rFonts w:cs="Times New Roman"/>
          <w:bCs/>
        </w:rPr>
        <w:t xml:space="preserve">An NQDC plan offers attractive benefits, but it can be risky. </w:t>
      </w:r>
      <w:r w:rsidR="00923A6C">
        <w:rPr>
          <w:rFonts w:cs="Times New Roman"/>
          <w:bCs/>
        </w:rPr>
        <w:t>Contact our firm to discuss how such a plan might affect your financial situation or whether it’s right for your company.</w:t>
      </w:r>
    </w:p>
    <w:p w14:paraId="2D336572" w14:textId="74D6F5ED" w:rsidR="0039283E" w:rsidRPr="0039283E" w:rsidRDefault="0039283E" w:rsidP="00CA0A7B">
      <w:pPr>
        <w:spacing w:after="200" w:line="240" w:lineRule="auto"/>
        <w:rPr>
          <w:rFonts w:cs="Times New Roman"/>
          <w:bCs/>
          <w:i/>
          <w:iCs/>
        </w:rPr>
      </w:pPr>
      <w:r>
        <w:rPr>
          <w:rFonts w:cs="Times New Roman"/>
          <w:bCs/>
        </w:rPr>
        <w:t xml:space="preserve">© </w:t>
      </w:r>
      <w:r>
        <w:rPr>
          <w:rFonts w:cs="Times New Roman"/>
          <w:bCs/>
          <w:i/>
          <w:iCs/>
        </w:rPr>
        <w:t>2020</w:t>
      </w:r>
      <w:bookmarkStart w:id="0" w:name="_GoBack"/>
      <w:bookmarkEnd w:id="0"/>
    </w:p>
    <w:sectPr w:rsidR="0039283E" w:rsidRPr="00392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417E1"/>
    <w:multiLevelType w:val="hybridMultilevel"/>
    <w:tmpl w:val="A698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49"/>
    <w:rsid w:val="00301BBE"/>
    <w:rsid w:val="0039283E"/>
    <w:rsid w:val="00461511"/>
    <w:rsid w:val="00462A34"/>
    <w:rsid w:val="00472171"/>
    <w:rsid w:val="00511ED3"/>
    <w:rsid w:val="00541475"/>
    <w:rsid w:val="005A5585"/>
    <w:rsid w:val="006315CF"/>
    <w:rsid w:val="00733817"/>
    <w:rsid w:val="007D1CEF"/>
    <w:rsid w:val="007F4D5A"/>
    <w:rsid w:val="00854C50"/>
    <w:rsid w:val="0089713C"/>
    <w:rsid w:val="00923A6C"/>
    <w:rsid w:val="00925949"/>
    <w:rsid w:val="009A2208"/>
    <w:rsid w:val="009A7355"/>
    <w:rsid w:val="00A00454"/>
    <w:rsid w:val="00AC67FC"/>
    <w:rsid w:val="00BE24F6"/>
    <w:rsid w:val="00C2729A"/>
    <w:rsid w:val="00C30356"/>
    <w:rsid w:val="00CA0A7B"/>
    <w:rsid w:val="00D404A4"/>
    <w:rsid w:val="00D553EF"/>
    <w:rsid w:val="00E24200"/>
    <w:rsid w:val="00E62362"/>
    <w:rsid w:val="00E76887"/>
    <w:rsid w:val="00E85181"/>
    <w:rsid w:val="00F13AD4"/>
    <w:rsid w:val="00F90BB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2D98"/>
  <w15:chartTrackingRefBased/>
  <w15:docId w15:val="{C609C481-F8A8-4122-B5C7-50E00A60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3AD4"/>
    <w:pPr>
      <w:spacing w:after="0" w:line="240" w:lineRule="auto"/>
      <w:ind w:left="720"/>
      <w:contextualSpacing/>
    </w:pPr>
    <w:rPr>
      <w:rFonts w:ascii="Cambria" w:eastAsia="MS Mincho" w:hAnsi="Cambria" w:cs="Arial"/>
      <w:szCs w:val="24"/>
      <w:lang w:eastAsia="ja-JP"/>
    </w:rPr>
  </w:style>
  <w:style w:type="character" w:styleId="CommentReference">
    <w:name w:val="annotation reference"/>
    <w:basedOn w:val="DefaultParagraphFont"/>
    <w:uiPriority w:val="99"/>
    <w:semiHidden/>
    <w:unhideWhenUsed/>
    <w:rsid w:val="00E24200"/>
    <w:rPr>
      <w:sz w:val="16"/>
      <w:szCs w:val="16"/>
    </w:rPr>
  </w:style>
  <w:style w:type="paragraph" w:styleId="CommentText">
    <w:name w:val="annotation text"/>
    <w:basedOn w:val="Normal"/>
    <w:link w:val="CommentTextChar"/>
    <w:uiPriority w:val="99"/>
    <w:semiHidden/>
    <w:unhideWhenUsed/>
    <w:rsid w:val="00E24200"/>
    <w:pPr>
      <w:spacing w:line="240" w:lineRule="auto"/>
    </w:pPr>
    <w:rPr>
      <w:sz w:val="20"/>
      <w:szCs w:val="20"/>
    </w:rPr>
  </w:style>
  <w:style w:type="character" w:customStyle="1" w:styleId="CommentTextChar">
    <w:name w:val="Comment Text Char"/>
    <w:basedOn w:val="DefaultParagraphFont"/>
    <w:link w:val="CommentText"/>
    <w:uiPriority w:val="99"/>
    <w:semiHidden/>
    <w:rsid w:val="00E242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4200"/>
    <w:rPr>
      <w:b/>
      <w:bCs/>
    </w:rPr>
  </w:style>
  <w:style w:type="character" w:customStyle="1" w:styleId="CommentSubjectChar">
    <w:name w:val="Comment Subject Char"/>
    <w:basedOn w:val="CommentTextChar"/>
    <w:link w:val="CommentSubject"/>
    <w:uiPriority w:val="99"/>
    <w:semiHidden/>
    <w:rsid w:val="00E24200"/>
    <w:rPr>
      <w:rFonts w:ascii="Times New Roman" w:hAnsi="Times New Roman"/>
      <w:b/>
      <w:bCs/>
      <w:sz w:val="20"/>
      <w:szCs w:val="20"/>
    </w:rPr>
  </w:style>
  <w:style w:type="paragraph" w:styleId="BalloonText">
    <w:name w:val="Balloon Text"/>
    <w:basedOn w:val="Normal"/>
    <w:link w:val="BalloonTextChar"/>
    <w:uiPriority w:val="99"/>
    <w:semiHidden/>
    <w:unhideWhenUsed/>
    <w:rsid w:val="00E2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D621D-D955-4642-9B9C-60DB3ADECEE5}">
  <ds:schemaRefs>
    <ds:schemaRef ds:uri="http://schemas.microsoft.com/sharepoint/v3/contenttype/forms"/>
  </ds:schemaRefs>
</ds:datastoreItem>
</file>

<file path=customXml/itemProps2.xml><?xml version="1.0" encoding="utf-8"?>
<ds:datastoreItem xmlns:ds="http://schemas.openxmlformats.org/officeDocument/2006/customXml" ds:itemID="{3AA4D289-3E14-4701-99D6-EF76E8985F62}">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3f3b3382-7005-45e0-adac-ca66d19e4502"/>
    <ds:schemaRef ds:uri="http://purl.org/dc/elements/1.1/"/>
    <ds:schemaRef ds:uri="http://schemas.microsoft.com/office/infopath/2007/PartnerControls"/>
    <ds:schemaRef ds:uri="5780ff4a-8397-4f78-a7bb-31364ea346f1"/>
    <ds:schemaRef ds:uri="http://purl.org/dc/dcmitype/"/>
  </ds:schemaRefs>
</ds:datastoreItem>
</file>

<file path=customXml/itemProps3.xml><?xml version="1.0" encoding="utf-8"?>
<ds:datastoreItem xmlns:ds="http://schemas.openxmlformats.org/officeDocument/2006/customXml" ds:itemID="{E6ECC830-8444-444A-A053-4D1ADAB2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6</cp:revision>
  <dcterms:created xsi:type="dcterms:W3CDTF">2020-08-10T20:54:00Z</dcterms:created>
  <dcterms:modified xsi:type="dcterms:W3CDTF">2020-08-11T15:12:00Z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